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34" w:type="dxa"/>
        <w:tblLayout w:type="fixed"/>
        <w:tblLook w:val="04A0" w:firstRow="1" w:lastRow="0" w:firstColumn="1" w:lastColumn="0" w:noHBand="0" w:noVBand="1"/>
      </w:tblPr>
      <w:tblGrid>
        <w:gridCol w:w="1019"/>
        <w:gridCol w:w="3938"/>
        <w:gridCol w:w="4536"/>
        <w:gridCol w:w="3827"/>
        <w:gridCol w:w="2835"/>
        <w:gridCol w:w="2977"/>
        <w:gridCol w:w="3402"/>
      </w:tblGrid>
      <w:tr w:rsidR="00173051" w:rsidRPr="00173051" w:rsidTr="00712F48">
        <w:trPr>
          <w:trHeight w:val="674"/>
        </w:trPr>
        <w:tc>
          <w:tcPr>
            <w:tcW w:w="1019" w:type="dxa"/>
          </w:tcPr>
          <w:p w:rsidR="00173051" w:rsidRPr="00173051" w:rsidRDefault="00173051" w:rsidP="00173051">
            <w:pPr>
              <w:jc w:val="center"/>
              <w:rPr>
                <w:rFonts w:ascii="NTPreCursive" w:hAnsi="NTPreCursive" w:cs="Calibri"/>
                <w:color w:val="7030A0"/>
                <w:sz w:val="32"/>
              </w:rPr>
            </w:pPr>
          </w:p>
        </w:tc>
        <w:tc>
          <w:tcPr>
            <w:tcW w:w="3938" w:type="dxa"/>
          </w:tcPr>
          <w:p w:rsidR="00173051" w:rsidRPr="00173051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2"/>
              </w:rPr>
            </w:pPr>
            <w:r w:rsidRPr="00173051">
              <w:rPr>
                <w:rFonts w:ascii="NTPreCursive" w:hAnsi="NTPreCursive" w:cs="Calibri"/>
                <w:color w:val="7030A0"/>
                <w:sz w:val="32"/>
              </w:rPr>
              <w:t>Autumn 1</w:t>
            </w:r>
          </w:p>
        </w:tc>
        <w:tc>
          <w:tcPr>
            <w:tcW w:w="4536" w:type="dxa"/>
          </w:tcPr>
          <w:p w:rsidR="00173051" w:rsidRPr="00173051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2"/>
              </w:rPr>
            </w:pPr>
            <w:r w:rsidRPr="00173051">
              <w:rPr>
                <w:rFonts w:ascii="NTPreCursive" w:hAnsi="NTPreCursive" w:cs="Calibri"/>
                <w:color w:val="7030A0"/>
                <w:sz w:val="32"/>
              </w:rPr>
              <w:t>Autumn 2</w:t>
            </w:r>
          </w:p>
        </w:tc>
        <w:tc>
          <w:tcPr>
            <w:tcW w:w="3827" w:type="dxa"/>
          </w:tcPr>
          <w:p w:rsidR="00173051" w:rsidRPr="00173051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2"/>
              </w:rPr>
            </w:pPr>
            <w:r w:rsidRPr="00173051">
              <w:rPr>
                <w:rFonts w:ascii="NTPreCursive" w:hAnsi="NTPreCursive" w:cs="Calibri"/>
                <w:color w:val="7030A0"/>
                <w:sz w:val="32"/>
              </w:rPr>
              <w:t>Spring 1</w:t>
            </w:r>
          </w:p>
        </w:tc>
        <w:tc>
          <w:tcPr>
            <w:tcW w:w="2835" w:type="dxa"/>
          </w:tcPr>
          <w:p w:rsidR="00173051" w:rsidRPr="00173051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2"/>
              </w:rPr>
            </w:pPr>
            <w:r w:rsidRPr="00173051">
              <w:rPr>
                <w:rFonts w:ascii="NTPreCursive" w:hAnsi="NTPreCursive" w:cs="Calibri"/>
                <w:color w:val="7030A0"/>
                <w:sz w:val="32"/>
              </w:rPr>
              <w:t>Spring 2</w:t>
            </w:r>
          </w:p>
        </w:tc>
        <w:tc>
          <w:tcPr>
            <w:tcW w:w="2977" w:type="dxa"/>
          </w:tcPr>
          <w:p w:rsidR="00173051" w:rsidRPr="00173051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2"/>
              </w:rPr>
            </w:pPr>
            <w:r w:rsidRPr="00173051">
              <w:rPr>
                <w:rFonts w:ascii="NTPreCursive" w:hAnsi="NTPreCursive" w:cs="Calibri"/>
                <w:color w:val="7030A0"/>
                <w:sz w:val="32"/>
              </w:rPr>
              <w:t>Summer 1</w:t>
            </w:r>
          </w:p>
        </w:tc>
        <w:tc>
          <w:tcPr>
            <w:tcW w:w="3402" w:type="dxa"/>
          </w:tcPr>
          <w:p w:rsidR="00173051" w:rsidRPr="00173051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2"/>
              </w:rPr>
            </w:pPr>
            <w:r w:rsidRPr="00173051">
              <w:rPr>
                <w:rFonts w:ascii="NTPreCursive" w:hAnsi="NTPreCursive" w:cs="Calibri"/>
                <w:color w:val="7030A0"/>
                <w:sz w:val="32"/>
              </w:rPr>
              <w:t>Summer 2</w:t>
            </w:r>
          </w:p>
        </w:tc>
      </w:tr>
      <w:tr w:rsidR="00173051" w:rsidRPr="00173051" w:rsidTr="00712F48">
        <w:trPr>
          <w:trHeight w:val="674"/>
        </w:trPr>
        <w:tc>
          <w:tcPr>
            <w:tcW w:w="1019" w:type="dxa"/>
          </w:tcPr>
          <w:p w:rsidR="00173051" w:rsidRPr="00173051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2"/>
              </w:rPr>
            </w:pPr>
          </w:p>
        </w:tc>
        <w:tc>
          <w:tcPr>
            <w:tcW w:w="21515" w:type="dxa"/>
            <w:gridSpan w:val="6"/>
          </w:tcPr>
          <w:p w:rsidR="00173051" w:rsidRPr="00173051" w:rsidRDefault="00173051" w:rsidP="00D869E3">
            <w:pPr>
              <w:jc w:val="center"/>
              <w:rPr>
                <w:rFonts w:ascii="NTPreCursive" w:hAnsi="NTPreCursive" w:cs="Calibri"/>
                <w:b/>
                <w:sz w:val="32"/>
              </w:rPr>
            </w:pPr>
            <w:r w:rsidRPr="00173051">
              <w:rPr>
                <w:rFonts w:ascii="NTPreCursive" w:hAnsi="NTPreCursive" w:cs="Calibri"/>
                <w:b/>
                <w:sz w:val="32"/>
              </w:rPr>
              <w:t>Seasons to be taught throughout the year</w:t>
            </w:r>
          </w:p>
          <w:p w:rsidR="00173051" w:rsidRPr="00173051" w:rsidRDefault="00173051" w:rsidP="001730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>Observe changes across the 4 seasons</w:t>
            </w:r>
          </w:p>
          <w:p w:rsidR="00173051" w:rsidRPr="00173051" w:rsidRDefault="00173051" w:rsidP="001730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TPreCursive" w:hAnsi="NTPreCursive" w:cs="Calibri"/>
                <w:color w:val="7030A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>Observe and describe weather associated with seasons and how the day length varies.</w:t>
            </w:r>
          </w:p>
        </w:tc>
      </w:tr>
      <w:tr w:rsidR="00173051" w:rsidRPr="00173051" w:rsidTr="00712F48">
        <w:trPr>
          <w:trHeight w:val="1079"/>
        </w:trPr>
        <w:tc>
          <w:tcPr>
            <w:tcW w:w="1019" w:type="dxa"/>
          </w:tcPr>
          <w:p w:rsidR="00173051" w:rsidRDefault="00173051" w:rsidP="00173051">
            <w:pPr>
              <w:jc w:val="center"/>
              <w:rPr>
                <w:rFonts w:ascii="NTPreCursive" w:hAnsi="NTPreCursive" w:cs="Calibri"/>
                <w:sz w:val="32"/>
              </w:rPr>
            </w:pPr>
          </w:p>
          <w:p w:rsidR="00173051" w:rsidRDefault="00173051" w:rsidP="00173051">
            <w:pPr>
              <w:jc w:val="center"/>
              <w:rPr>
                <w:rFonts w:ascii="NTPreCursive" w:hAnsi="NTPreCursive" w:cs="Calibri"/>
                <w:sz w:val="32"/>
              </w:rPr>
            </w:pPr>
          </w:p>
          <w:p w:rsidR="00173051" w:rsidRDefault="00173051" w:rsidP="00173051">
            <w:pPr>
              <w:jc w:val="center"/>
              <w:rPr>
                <w:rFonts w:ascii="NTPreCursive" w:hAnsi="NTPreCursive" w:cs="Calibri"/>
                <w:sz w:val="32"/>
              </w:rPr>
            </w:pPr>
          </w:p>
          <w:p w:rsidR="00173051" w:rsidRDefault="00173051" w:rsidP="00173051">
            <w:pPr>
              <w:jc w:val="center"/>
              <w:rPr>
                <w:rFonts w:ascii="NTPreCursive" w:hAnsi="NTPreCursive" w:cs="Calibri"/>
                <w:sz w:val="32"/>
              </w:rPr>
            </w:pPr>
          </w:p>
          <w:p w:rsidR="00173051" w:rsidRDefault="00173051" w:rsidP="00173051">
            <w:pPr>
              <w:jc w:val="center"/>
              <w:rPr>
                <w:rFonts w:ascii="NTPreCursive" w:hAnsi="NTPreCursive" w:cs="Calibri"/>
                <w:sz w:val="32"/>
              </w:rPr>
            </w:pPr>
          </w:p>
          <w:p w:rsidR="00173051" w:rsidRDefault="00173051" w:rsidP="00173051">
            <w:pPr>
              <w:jc w:val="center"/>
              <w:rPr>
                <w:rFonts w:ascii="NTPreCursive" w:hAnsi="NTPreCursive" w:cs="Calibri"/>
                <w:sz w:val="32"/>
              </w:rPr>
            </w:pPr>
          </w:p>
          <w:p w:rsidR="00173051" w:rsidRDefault="00173051" w:rsidP="00173051">
            <w:pPr>
              <w:jc w:val="center"/>
              <w:rPr>
                <w:rFonts w:ascii="NTPreCursive" w:hAnsi="NTPreCursive" w:cs="Calibri"/>
                <w:sz w:val="32"/>
              </w:rPr>
            </w:pPr>
          </w:p>
          <w:p w:rsidR="00173051" w:rsidRDefault="00173051" w:rsidP="00173051">
            <w:pPr>
              <w:jc w:val="center"/>
              <w:rPr>
                <w:rFonts w:ascii="NTPreCursive" w:hAnsi="NTPreCursive" w:cs="Calibri"/>
                <w:sz w:val="32"/>
              </w:rPr>
            </w:pPr>
          </w:p>
          <w:p w:rsidR="00173051" w:rsidRDefault="00173051" w:rsidP="00712F48">
            <w:pPr>
              <w:jc w:val="center"/>
              <w:rPr>
                <w:rFonts w:ascii="NTPreCursive" w:hAnsi="NTPreCursive" w:cs="Calibri"/>
                <w:sz w:val="32"/>
              </w:rPr>
            </w:pPr>
            <w:bookmarkStart w:id="0" w:name="_GoBack"/>
          </w:p>
          <w:p w:rsidR="00173051" w:rsidRPr="00712F48" w:rsidRDefault="00173051" w:rsidP="00712F48">
            <w:pPr>
              <w:jc w:val="center"/>
              <w:rPr>
                <w:rFonts w:ascii="NTPreCursive" w:hAnsi="NTPreCursive" w:cs="Calibri"/>
                <w:sz w:val="32"/>
              </w:rPr>
            </w:pPr>
            <w:r w:rsidRPr="00712F48">
              <w:rPr>
                <w:rFonts w:ascii="NTPreCursive" w:hAnsi="NTPreCursive" w:cs="Calibri"/>
                <w:sz w:val="32"/>
              </w:rPr>
              <w:t xml:space="preserve">YEAR </w:t>
            </w:r>
          </w:p>
          <w:p w:rsidR="00173051" w:rsidRPr="00712F48" w:rsidRDefault="00173051" w:rsidP="00712F48">
            <w:pPr>
              <w:jc w:val="center"/>
              <w:rPr>
                <w:rFonts w:ascii="NTPreCursive" w:hAnsi="NTPreCursive" w:cs="Calibri"/>
                <w:sz w:val="32"/>
              </w:rPr>
            </w:pPr>
            <w:r w:rsidRPr="00712F48">
              <w:rPr>
                <w:rFonts w:ascii="NTPreCursive" w:hAnsi="NTPreCursive" w:cs="Calibri"/>
                <w:sz w:val="32"/>
              </w:rPr>
              <w:t>ONE</w:t>
            </w:r>
          </w:p>
          <w:bookmarkEnd w:id="0"/>
          <w:p w:rsidR="00173051" w:rsidRPr="00173051" w:rsidRDefault="00173051" w:rsidP="00173051">
            <w:pPr>
              <w:jc w:val="center"/>
              <w:rPr>
                <w:rFonts w:ascii="NTPreCursive" w:hAnsi="NTPreCursive" w:cs="Calibri"/>
                <w:sz w:val="32"/>
              </w:rPr>
            </w:pPr>
          </w:p>
        </w:tc>
        <w:tc>
          <w:tcPr>
            <w:tcW w:w="3938" w:type="dxa"/>
          </w:tcPr>
          <w:p w:rsidR="00173051" w:rsidRPr="00173051" w:rsidRDefault="00173051" w:rsidP="00173051">
            <w:pPr>
              <w:rPr>
                <w:rFonts w:ascii="NTPreCursive" w:hAnsi="NTPreCursive" w:cs="Calibri"/>
                <w:b/>
                <w:color w:val="FF6600"/>
                <w:sz w:val="32"/>
              </w:rPr>
            </w:pPr>
            <w:r w:rsidRPr="00173051">
              <w:rPr>
                <w:rFonts w:ascii="NTPreCursive" w:hAnsi="NTPreCursive" w:cs="Calibri"/>
                <w:b/>
                <w:sz w:val="32"/>
              </w:rPr>
              <w:t xml:space="preserve">Animals including humans – humans </w:t>
            </w:r>
            <w:r w:rsidRPr="00173051">
              <w:rPr>
                <w:rFonts w:ascii="NTPreCursive" w:hAnsi="NTPreCursive" w:cs="Calibri"/>
                <w:b/>
                <w:color w:val="FF6600"/>
                <w:sz w:val="32"/>
              </w:rPr>
              <w:t xml:space="preserve">Biology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1) Identify, name, draw and label the basic parts of the human body.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2) </w:t>
            </w:r>
            <w:proofErr w:type="gramStart"/>
            <w:r w:rsidRPr="00173051">
              <w:rPr>
                <w:rFonts w:ascii="NTPreCursive" w:hAnsi="NTPreCursive" w:cs="Calibri"/>
                <w:color w:val="00B050"/>
                <w:sz w:val="32"/>
              </w:rPr>
              <w:t>say</w:t>
            </w:r>
            <w:proofErr w:type="gramEnd"/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 which part of the body is associated with each sense.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>Key vocabulary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 xml:space="preserve">head, body, eyes, ears, mouth, teeth, </w:t>
            </w:r>
            <w:r w:rsidRPr="00173051">
              <w:rPr>
                <w:rFonts w:ascii="NTPreCursive" w:hAnsi="NTPreCursive" w:cs="Calibri"/>
                <w:color w:val="FF0000"/>
                <w:sz w:val="32"/>
                <w:lang w:val="en-GB"/>
              </w:rPr>
              <w:t xml:space="preserve">senses, sight, smell, spine, taste, thigh, tongue, touch, vertebrae, wrist, </w:t>
            </w:r>
            <w:r w:rsidRPr="00173051">
              <w:rPr>
                <w:rFonts w:ascii="NTPreCursive" w:hAnsi="NTPreCursive" w:cs="Calibri"/>
                <w:color w:val="FF0000"/>
                <w:sz w:val="32"/>
              </w:rPr>
              <w:t>backbone, ear lobe, eye socket, elbow, fingers, hearing, hips, joints, nails, neck, ribs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Working scientifically skills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Observe closely, using simple equipment.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Identify and classify.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Gather and record data to help in answering questions.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sz w:val="32"/>
              </w:rPr>
            </w:pPr>
          </w:p>
        </w:tc>
        <w:tc>
          <w:tcPr>
            <w:tcW w:w="4536" w:type="dxa"/>
          </w:tcPr>
          <w:p w:rsidR="00173051" w:rsidRPr="00173051" w:rsidRDefault="00173051" w:rsidP="00173051">
            <w:pPr>
              <w:rPr>
                <w:rFonts w:ascii="NTPreCursive" w:hAnsi="NTPreCursive" w:cs="Calibri"/>
                <w:b/>
                <w:color w:val="FF6600"/>
                <w:sz w:val="32"/>
              </w:rPr>
            </w:pPr>
            <w:r w:rsidRPr="00173051">
              <w:rPr>
                <w:rFonts w:ascii="NTPreCursive" w:hAnsi="NTPreCursive" w:cs="Calibri"/>
                <w:b/>
                <w:sz w:val="32"/>
              </w:rPr>
              <w:t xml:space="preserve">Materials </w:t>
            </w:r>
            <w:r w:rsidRPr="00173051">
              <w:rPr>
                <w:rFonts w:ascii="NTPreCursive" w:hAnsi="NTPreCursive" w:cs="Calibri"/>
                <w:b/>
                <w:color w:val="FF6600"/>
                <w:sz w:val="32"/>
              </w:rPr>
              <w:t>Chemistry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1) Distinguish between an object and the material from which it is made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>2) Identify and name a variety of everyday materials, including wood, plastic, glass, metal, water, and rock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>3) Describe the simple physical properties of a variety of everyday materials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4) Compare and group together a variety of everyday materials </w:t>
            </w:r>
            <w:proofErr w:type="gramStart"/>
            <w:r w:rsidRPr="00173051">
              <w:rPr>
                <w:rFonts w:ascii="NTPreCursive" w:hAnsi="NTPreCursive" w:cs="Calibri"/>
                <w:color w:val="00B050"/>
                <w:sz w:val="32"/>
              </w:rPr>
              <w:t>on the basis of</w:t>
            </w:r>
            <w:proofErr w:type="gramEnd"/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 their simple physical properties.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>Key vocabulary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>Object, material, wood, plastic, glass, metal, water, rock, brick, paper, fabric, elastic, foil, card/cardboard, rubber, wool, clay, hard, soft, stretchy, stiff, bendy, floppy, waterproof, absorbent, breaks/tears, rough, smooth, shiny, dull, see through, not see through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Working scientifically skills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Observe things using simple equipment.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Identify and classify.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Use observations and ideas to suggest answers to questions.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Perform simple tests.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Identify and classify</w:t>
            </w:r>
            <w:r w:rsidRPr="00173051">
              <w:rPr>
                <w:rFonts w:ascii="NTPreCursive" w:hAnsi="NTPreCursive" w:cs="Calibri"/>
                <w:sz w:val="32"/>
              </w:rPr>
              <w:t>.</w:t>
            </w:r>
          </w:p>
        </w:tc>
        <w:tc>
          <w:tcPr>
            <w:tcW w:w="3827" w:type="dxa"/>
          </w:tcPr>
          <w:p w:rsidR="00173051" w:rsidRPr="00173051" w:rsidRDefault="00173051" w:rsidP="00173051">
            <w:pPr>
              <w:rPr>
                <w:rFonts w:ascii="NTPreCursive" w:hAnsi="NTPreCursive" w:cs="Calibri"/>
                <w:b/>
                <w:color w:val="FF6600"/>
                <w:sz w:val="32"/>
              </w:rPr>
            </w:pPr>
            <w:r w:rsidRPr="00173051">
              <w:rPr>
                <w:rFonts w:ascii="NTPreCursive" w:hAnsi="NTPreCursive" w:cs="Calibri"/>
                <w:b/>
                <w:sz w:val="32"/>
              </w:rPr>
              <w:t xml:space="preserve">Animals including humans – polar animals </w:t>
            </w:r>
            <w:r w:rsidRPr="00173051">
              <w:rPr>
                <w:rFonts w:ascii="NTPreCursive" w:hAnsi="NTPreCursive" w:cs="Calibri"/>
                <w:b/>
                <w:color w:val="FF6600"/>
                <w:sz w:val="32"/>
              </w:rPr>
              <w:t xml:space="preserve">Biology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>1) Identify and name a variety of common animals including fish, amphibians, reptiles, birds and mammals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2) </w:t>
            </w:r>
            <w:proofErr w:type="gramStart"/>
            <w:r w:rsidRPr="00173051">
              <w:rPr>
                <w:rFonts w:ascii="NTPreCursive" w:hAnsi="NTPreCursive" w:cs="Calibri"/>
                <w:color w:val="00B050"/>
                <w:sz w:val="32"/>
              </w:rPr>
              <w:t>identify</w:t>
            </w:r>
            <w:proofErr w:type="gramEnd"/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 and name a variety of common animals that are carnivores, herbivores and omnivores.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3) Describe and compare the structure of a variety of common animals (fish, amphibians, reptiles, birds and mammals, including pets).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>Key vocabulary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  <w:lang w:val="en-GB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  <w:lang w:val="en-GB"/>
              </w:rPr>
              <w:t xml:space="preserve">Adventurer, Antarctic, Arctic, Carnivore, Clothes, Cold, Flexible, Habitat, Herbivore, Ice, Iceberg, North Pole, Omnivore, Polar bear, Seal, Sea lion, Snow, South Pole, Waterproof, Weather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  <w:lang w:val="en-GB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  <w:lang w:val="en-GB"/>
              </w:rPr>
              <w:t xml:space="preserve">Working scientifically skills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  <w:lang w:val="en-GB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  <w:lang w:val="en-GB"/>
              </w:rPr>
              <w:t xml:space="preserve">Ask simple questions and recognise that they </w:t>
            </w:r>
            <w:proofErr w:type="gramStart"/>
            <w:r w:rsidRPr="00173051">
              <w:rPr>
                <w:rFonts w:ascii="NTPreCursive" w:hAnsi="NTPreCursive" w:cs="Calibri"/>
                <w:color w:val="0070C0"/>
                <w:sz w:val="32"/>
                <w:lang w:val="en-GB"/>
              </w:rPr>
              <w:t>can be answered</w:t>
            </w:r>
            <w:proofErr w:type="gramEnd"/>
            <w:r w:rsidRPr="00173051">
              <w:rPr>
                <w:rFonts w:ascii="NTPreCursive" w:hAnsi="NTPreCursive" w:cs="Calibri"/>
                <w:color w:val="0070C0"/>
                <w:sz w:val="32"/>
                <w:lang w:val="en-GB"/>
              </w:rPr>
              <w:t xml:space="preserve"> in different ways.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  <w:lang w:val="en-GB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  <w:lang w:val="en-GB"/>
              </w:rPr>
              <w:t xml:space="preserve">Perform simple tests.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  <w:lang w:val="en-GB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  <w:lang w:val="en-GB"/>
              </w:rPr>
              <w:t xml:space="preserve">Identify and classify.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  <w:lang w:val="en-GB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  <w:lang w:val="en-GB"/>
              </w:rPr>
              <w:t xml:space="preserve">Use their observations and ideas to suggest answers to questions. Identify and classify.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</w:p>
          <w:p w:rsidR="00173051" w:rsidRPr="00173051" w:rsidRDefault="00173051" w:rsidP="00173051">
            <w:pPr>
              <w:rPr>
                <w:rFonts w:ascii="NTPreCursive" w:hAnsi="NTPreCursive" w:cs="Calibri"/>
                <w:sz w:val="32"/>
              </w:rPr>
            </w:pPr>
          </w:p>
        </w:tc>
        <w:tc>
          <w:tcPr>
            <w:tcW w:w="2835" w:type="dxa"/>
          </w:tcPr>
          <w:p w:rsidR="00173051" w:rsidRPr="00173051" w:rsidRDefault="00173051" w:rsidP="00173051">
            <w:pPr>
              <w:rPr>
                <w:rFonts w:ascii="NTPreCursive" w:hAnsi="NTPreCursive" w:cs="Calibri"/>
                <w:b/>
                <w:sz w:val="32"/>
              </w:rPr>
            </w:pPr>
            <w:r w:rsidRPr="00173051">
              <w:rPr>
                <w:rFonts w:ascii="NTPreCursive" w:hAnsi="NTPreCursive" w:cs="Calibri"/>
                <w:b/>
                <w:sz w:val="32"/>
              </w:rPr>
              <w:t xml:space="preserve">Working scientifically focus.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1)</w:t>
            </w:r>
            <w:r w:rsidRPr="00173051">
              <w:rPr>
                <w:rFonts w:ascii="NTPreCursive" w:hAnsi="NTPreCursive" w:cs="Calibri"/>
                <w:color w:val="0070C0"/>
                <w:spacing w:val="-34"/>
                <w:sz w:val="32"/>
              </w:rPr>
              <w:t xml:space="preserve"> A</w:t>
            </w: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sking simple questions and </w:t>
            </w:r>
            <w:proofErr w:type="spellStart"/>
            <w:r w:rsidRPr="00173051">
              <w:rPr>
                <w:rFonts w:ascii="NTPreCursive" w:hAnsi="NTPreCursive" w:cs="Calibri"/>
                <w:color w:val="0070C0"/>
                <w:sz w:val="32"/>
              </w:rPr>
              <w:t>recognising</w:t>
            </w:r>
            <w:proofErr w:type="spellEnd"/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 that they </w:t>
            </w:r>
            <w:proofErr w:type="gramStart"/>
            <w:r w:rsidRPr="00173051">
              <w:rPr>
                <w:rFonts w:ascii="NTPreCursive" w:hAnsi="NTPreCursive" w:cs="Calibri"/>
                <w:color w:val="0070C0"/>
                <w:sz w:val="32"/>
              </w:rPr>
              <w:t>can be answered</w:t>
            </w:r>
            <w:proofErr w:type="gramEnd"/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 in different ways.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2) </w:t>
            </w:r>
            <w:proofErr w:type="gramStart"/>
            <w:r w:rsidRPr="00173051">
              <w:rPr>
                <w:rFonts w:ascii="NTPreCursive" w:hAnsi="NTPreCursive" w:cs="Calibri"/>
                <w:color w:val="0070C0"/>
                <w:sz w:val="32"/>
              </w:rPr>
              <w:t>observing</w:t>
            </w:r>
            <w:proofErr w:type="gramEnd"/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 closely using simple equipment.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3) Performing simple tests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4) Identifying and classifying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5) Using observations and ideas to suggest answers to questions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6) Gathering and recording data to help in answering questions. 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</w:p>
        </w:tc>
        <w:tc>
          <w:tcPr>
            <w:tcW w:w="2977" w:type="dxa"/>
          </w:tcPr>
          <w:p w:rsidR="00173051" w:rsidRPr="00173051" w:rsidRDefault="00173051" w:rsidP="00173051">
            <w:pPr>
              <w:rPr>
                <w:rFonts w:ascii="NTPreCursive" w:hAnsi="NTPreCursive" w:cs="Calibri"/>
                <w:b/>
                <w:color w:val="FF6600"/>
                <w:sz w:val="32"/>
              </w:rPr>
            </w:pPr>
            <w:r w:rsidRPr="00173051">
              <w:rPr>
                <w:rFonts w:ascii="NTPreCursive" w:hAnsi="NTPreCursive" w:cs="Calibri"/>
                <w:b/>
                <w:sz w:val="32"/>
              </w:rPr>
              <w:t xml:space="preserve">Animals including humans – Animals – insects. </w:t>
            </w:r>
            <w:r w:rsidRPr="00173051">
              <w:rPr>
                <w:rFonts w:ascii="NTPreCursive" w:hAnsi="NTPreCursive" w:cs="Calibri"/>
                <w:b/>
                <w:color w:val="FF6600"/>
                <w:sz w:val="32"/>
              </w:rPr>
              <w:t xml:space="preserve">Biology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>1) Identify and name a variety of common animals including fish, amphibians, reptiles, birds and mammals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2) </w:t>
            </w:r>
            <w:proofErr w:type="gramStart"/>
            <w:r w:rsidRPr="00173051">
              <w:rPr>
                <w:rFonts w:ascii="NTPreCursive" w:hAnsi="NTPreCursive" w:cs="Calibri"/>
                <w:color w:val="00B050"/>
                <w:sz w:val="32"/>
              </w:rPr>
              <w:t>identify</w:t>
            </w:r>
            <w:proofErr w:type="gramEnd"/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 and name a variety of common animals that are carnivores, herbivores and omnivores.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 xml:space="preserve">3) Describe and compare the structure of a variety of common animals (fish, amphibians, reptiles, birds and mammals, including pets).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>Key vocabulary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  <w:lang w:val="en-GB"/>
              </w:rPr>
              <w:t xml:space="preserve">Abdomen, Antennae, Exoskeleton, Food chain, Habitat, Head, </w:t>
            </w:r>
            <w:r w:rsidRPr="00173051">
              <w:rPr>
                <w:rFonts w:ascii="NTPreCursive" w:hAnsi="NTPreCursive" w:cs="Calibri"/>
                <w:color w:val="FF0000"/>
                <w:sz w:val="32"/>
              </w:rPr>
              <w:t xml:space="preserve">Insect, Invertebrate,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 xml:space="preserve">Jointed, Legs, Sections, Thorax,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>Vertebrate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Working scientifically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Observe closely, using simple equipment.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>Identify and classify.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Ask simple questions and </w:t>
            </w:r>
            <w:proofErr w:type="spellStart"/>
            <w:r w:rsidRPr="00173051">
              <w:rPr>
                <w:rFonts w:ascii="NTPreCursive" w:hAnsi="NTPreCursive" w:cs="Calibri"/>
                <w:color w:val="0070C0"/>
                <w:sz w:val="32"/>
              </w:rPr>
              <w:t>recognise</w:t>
            </w:r>
            <w:proofErr w:type="spellEnd"/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 that they </w:t>
            </w:r>
            <w:proofErr w:type="gramStart"/>
            <w:r w:rsidRPr="00173051">
              <w:rPr>
                <w:rFonts w:ascii="NTPreCursive" w:hAnsi="NTPreCursive" w:cs="Calibri"/>
                <w:color w:val="0070C0"/>
                <w:sz w:val="32"/>
              </w:rPr>
              <w:t>can be answered</w:t>
            </w:r>
            <w:proofErr w:type="gramEnd"/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 in different ways.</w:t>
            </w:r>
          </w:p>
        </w:tc>
        <w:tc>
          <w:tcPr>
            <w:tcW w:w="3402" w:type="dxa"/>
          </w:tcPr>
          <w:p w:rsidR="00173051" w:rsidRPr="00173051" w:rsidRDefault="00173051" w:rsidP="00173051">
            <w:pPr>
              <w:rPr>
                <w:rFonts w:ascii="NTPreCursive" w:hAnsi="NTPreCursive" w:cs="Calibri"/>
                <w:b/>
                <w:color w:val="FF6600"/>
                <w:sz w:val="32"/>
              </w:rPr>
            </w:pPr>
            <w:r w:rsidRPr="00173051">
              <w:rPr>
                <w:rFonts w:ascii="NTPreCursive" w:hAnsi="NTPreCursive" w:cs="Calibri"/>
                <w:b/>
                <w:sz w:val="32"/>
              </w:rPr>
              <w:t xml:space="preserve">Plants </w:t>
            </w:r>
            <w:r w:rsidRPr="00173051">
              <w:rPr>
                <w:rFonts w:ascii="NTPreCursive" w:hAnsi="NTPreCursive" w:cs="Calibri"/>
                <w:b/>
                <w:color w:val="FF6600"/>
                <w:sz w:val="32"/>
              </w:rPr>
              <w:t xml:space="preserve">Biology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>1) Identify and name a variety of common wild and garden plants, including deciduous and evergreen trees.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B050"/>
                <w:sz w:val="32"/>
              </w:rPr>
            </w:pPr>
            <w:r w:rsidRPr="00173051">
              <w:rPr>
                <w:rFonts w:ascii="NTPreCursive" w:hAnsi="NTPreCursive" w:cs="Calibri"/>
                <w:color w:val="00B050"/>
                <w:sz w:val="32"/>
              </w:rPr>
              <w:t>2) Identify and describe the basic structure of a variety of common flowering plants, including trees.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 xml:space="preserve">Key Vocabulary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FF0000"/>
                <w:sz w:val="32"/>
              </w:rPr>
            </w:pPr>
            <w:r w:rsidRPr="00173051">
              <w:rPr>
                <w:rFonts w:ascii="NTPreCursive" w:hAnsi="NTPreCursive" w:cs="Calibri"/>
                <w:color w:val="FF0000"/>
                <w:sz w:val="32"/>
              </w:rPr>
              <w:t xml:space="preserve">Leaf, flower, blossom, petal, fruit, berry, root, seed, trunk, branch, stem, bark stalk, bud, Names of trees in the local area, Names of garden and wild flowering plants in the local area.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Working scientifically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Observe closely, using simple equipment.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Identify and classify.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Use their observations and ideas to suggest answers to questions. 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Ask simple questions and </w:t>
            </w:r>
            <w:proofErr w:type="spellStart"/>
            <w:r w:rsidRPr="00173051">
              <w:rPr>
                <w:rFonts w:ascii="NTPreCursive" w:hAnsi="NTPreCursive" w:cs="Calibri"/>
                <w:color w:val="0070C0"/>
                <w:sz w:val="32"/>
              </w:rPr>
              <w:t>recognise</w:t>
            </w:r>
            <w:proofErr w:type="spellEnd"/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 that they </w:t>
            </w:r>
            <w:proofErr w:type="gramStart"/>
            <w:r w:rsidRPr="00173051">
              <w:rPr>
                <w:rFonts w:ascii="NTPreCursive" w:hAnsi="NTPreCursive" w:cs="Calibri"/>
                <w:color w:val="0070C0"/>
                <w:sz w:val="32"/>
              </w:rPr>
              <w:t>can be answered</w:t>
            </w:r>
            <w:proofErr w:type="gramEnd"/>
            <w:r w:rsidRPr="00173051">
              <w:rPr>
                <w:rFonts w:ascii="NTPreCursive" w:hAnsi="NTPreCursive" w:cs="Calibri"/>
                <w:color w:val="0070C0"/>
                <w:sz w:val="32"/>
              </w:rPr>
              <w:t xml:space="preserve"> in different ways. Identify and classify. Gather and record data to help in answering questions.</w:t>
            </w: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</w:p>
          <w:p w:rsidR="00173051" w:rsidRPr="00173051" w:rsidRDefault="00173051" w:rsidP="00173051">
            <w:pPr>
              <w:rPr>
                <w:rFonts w:ascii="NTPreCursive" w:hAnsi="NTPreCursive" w:cs="Calibri"/>
                <w:color w:val="0070C0"/>
                <w:sz w:val="32"/>
              </w:rPr>
            </w:pPr>
          </w:p>
        </w:tc>
      </w:tr>
    </w:tbl>
    <w:p w:rsidR="00F22E2B" w:rsidRDefault="00F22E2B"/>
    <w:sectPr w:rsidR="00F22E2B" w:rsidSect="00712F4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81"/>
    <w:multiLevelType w:val="hybridMultilevel"/>
    <w:tmpl w:val="CEFC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E6FD5"/>
    <w:multiLevelType w:val="hybridMultilevel"/>
    <w:tmpl w:val="14148D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1"/>
    <w:rsid w:val="00173051"/>
    <w:rsid w:val="00712F48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0CBC"/>
  <w15:chartTrackingRefBased/>
  <w15:docId w15:val="{CEBD11E8-57B7-4AA6-BCB1-C4B87E4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Campbell</dc:creator>
  <cp:keywords/>
  <dc:description/>
  <cp:lastModifiedBy>Theresa Campbell</cp:lastModifiedBy>
  <cp:revision>1</cp:revision>
  <dcterms:created xsi:type="dcterms:W3CDTF">2022-07-19T19:11:00Z</dcterms:created>
  <dcterms:modified xsi:type="dcterms:W3CDTF">2022-07-19T19:50:00Z</dcterms:modified>
</cp:coreProperties>
</file>